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claire-Accent1"/>
        <w:tblW w:w="10456" w:type="dxa"/>
        <w:tblCellMar>
          <w:left w:w="107" w:type="dxa"/>
        </w:tblCellMar>
        <w:tblLook w:val="04A0" w:firstRow="1" w:lastRow="0" w:firstColumn="1" w:lastColumn="0" w:noHBand="0" w:noVBand="1"/>
      </w:tblPr>
      <w:tblGrid>
        <w:gridCol w:w="3793"/>
        <w:gridCol w:w="6663"/>
      </w:tblGrid>
      <w:tr w:rsidR="004662A9" w:rsidTr="004662A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793" w:type="dxa"/>
            <w:tcBorders>
              <w:bottom w:val="single" w:sz="18" w:space="0" w:color="4F81BD"/>
            </w:tcBorders>
            <w:shd w:val="clear" w:color="auto" w:fill="auto"/>
            <w:tcMar>
              <w:left w:w="107" w:type="dxa"/>
            </w:tcMar>
            <w:vAlign w:val="center"/>
          </w:tcPr>
          <w:p w:rsidR="004662A9" w:rsidRDefault="000F5583">
            <w:pPr>
              <w:spacing w:after="0" w:line="240" w:lineRule="auto"/>
              <w:rPr>
                <w:rFonts w:cs="Arial"/>
                <w:sz w:val="24"/>
                <w:szCs w:val="20"/>
              </w:rPr>
            </w:pPr>
            <w:r>
              <w:rPr>
                <w:rFonts w:ascii="Cambria" w:hAnsi="Cambria" w:cs="Arial"/>
                <w:sz w:val="24"/>
                <w:szCs w:val="20"/>
              </w:rPr>
              <w:t>Intitulé de l’UEL</w:t>
            </w:r>
          </w:p>
        </w:tc>
        <w:tc>
          <w:tcPr>
            <w:tcW w:w="6662" w:type="dxa"/>
            <w:tcBorders>
              <w:bottom w:val="single" w:sz="18" w:space="0" w:color="4F81BD"/>
            </w:tcBorders>
            <w:shd w:val="clear" w:color="auto" w:fill="auto"/>
            <w:tcMar>
              <w:left w:w="107" w:type="dxa"/>
            </w:tcMar>
            <w:vAlign w:val="center"/>
          </w:tcPr>
          <w:p w:rsidR="004662A9" w:rsidRDefault="000F5583">
            <w:pPr>
              <w:spacing w:after="0" w:line="240" w:lineRule="auto"/>
              <w:cnfStyle w:val="100000000000" w:firstRow="1" w:lastRow="0" w:firstColumn="0" w:lastColumn="0" w:oddVBand="0" w:evenVBand="0" w:oddHBand="0" w:evenHBand="0" w:firstRowFirstColumn="0" w:firstRowLastColumn="0" w:lastRowFirstColumn="0" w:lastRowLastColumn="0"/>
            </w:pPr>
            <w:r>
              <w:rPr>
                <w:rFonts w:ascii="Cambria" w:hAnsi="Cambria" w:cs="Arial"/>
                <w:b w:val="0"/>
                <w:sz w:val="24"/>
              </w:rPr>
              <w:t>Actions pour la transition environnementale</w:t>
            </w:r>
          </w:p>
        </w:tc>
      </w:tr>
      <w:tr w:rsidR="004662A9" w:rsidTr="004662A9">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793" w:type="dxa"/>
            <w:tcMar>
              <w:left w:w="107" w:type="dxa"/>
            </w:tcMar>
            <w:vAlign w:val="center"/>
          </w:tcPr>
          <w:p w:rsidR="004662A9" w:rsidRDefault="000F5583">
            <w:pPr>
              <w:spacing w:after="0" w:line="240" w:lineRule="auto"/>
              <w:rPr>
                <w:rFonts w:cs="Arial"/>
                <w:sz w:val="24"/>
                <w:szCs w:val="20"/>
              </w:rPr>
            </w:pPr>
            <w:r>
              <w:rPr>
                <w:rFonts w:ascii="Cambria" w:hAnsi="Cambria" w:cs="Arial"/>
                <w:sz w:val="24"/>
                <w:szCs w:val="20"/>
              </w:rPr>
              <w:t>Responsable de l’UEL</w:t>
            </w:r>
          </w:p>
        </w:tc>
        <w:tc>
          <w:tcPr>
            <w:tcW w:w="6662" w:type="dxa"/>
            <w:tcMar>
              <w:left w:w="107" w:type="dxa"/>
            </w:tcMar>
            <w:vAlign w:val="center"/>
          </w:tcPr>
          <w:p w:rsidR="004662A9" w:rsidRDefault="000F5583">
            <w:pPr>
              <w:spacing w:after="0" w:line="240" w:lineRule="auto"/>
              <w:cnfStyle w:val="000000100000" w:firstRow="0" w:lastRow="0" w:firstColumn="0" w:lastColumn="0" w:oddVBand="0" w:evenVBand="0" w:oddHBand="1" w:evenHBand="0" w:firstRowFirstColumn="0" w:firstRowLastColumn="0" w:lastRowFirstColumn="0" w:lastRowLastColumn="0"/>
            </w:pPr>
            <w:r>
              <w:rPr>
                <w:rFonts w:cs="Arial"/>
                <w:sz w:val="24"/>
              </w:rPr>
              <w:t>Julien MONTILLAUD</w:t>
            </w:r>
          </w:p>
        </w:tc>
      </w:tr>
      <w:tr w:rsidR="004662A9" w:rsidTr="004662A9">
        <w:trPr>
          <w:cnfStyle w:val="000000010000" w:firstRow="0" w:lastRow="0" w:firstColumn="0" w:lastColumn="0" w:oddVBand="0" w:evenVBand="0" w:oddHBand="0" w:evenHBand="1"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793" w:type="dxa"/>
            <w:shd w:val="clear" w:color="auto" w:fill="auto"/>
            <w:tcMar>
              <w:left w:w="107" w:type="dxa"/>
            </w:tcMar>
            <w:vAlign w:val="center"/>
          </w:tcPr>
          <w:p w:rsidR="004662A9" w:rsidRDefault="000F5583">
            <w:pPr>
              <w:spacing w:after="0" w:line="240" w:lineRule="auto"/>
              <w:rPr>
                <w:rFonts w:cs="Arial"/>
                <w:sz w:val="24"/>
                <w:szCs w:val="20"/>
              </w:rPr>
            </w:pPr>
            <w:r>
              <w:rPr>
                <w:rFonts w:ascii="Cambria" w:hAnsi="Cambria" w:cs="Arial"/>
                <w:sz w:val="24"/>
                <w:szCs w:val="20"/>
              </w:rPr>
              <w:t>Email du responsable de l’UEL</w:t>
            </w:r>
          </w:p>
          <w:p w:rsidR="004662A9" w:rsidRDefault="000F5583">
            <w:pPr>
              <w:spacing w:after="0" w:line="240" w:lineRule="auto"/>
              <w:rPr>
                <w:rFonts w:cs="Arial"/>
                <w:sz w:val="24"/>
                <w:szCs w:val="20"/>
              </w:rPr>
            </w:pPr>
            <w:r>
              <w:rPr>
                <w:rFonts w:ascii="Cambria" w:hAnsi="Cambria" w:cs="Arial"/>
                <w:i/>
                <w:sz w:val="18"/>
                <w:szCs w:val="18"/>
              </w:rPr>
              <w:t>(indiquer une seule adresse mail même si plusieurs responsables interviennent dans le cadre de l’UEL)</w:t>
            </w:r>
          </w:p>
        </w:tc>
        <w:tc>
          <w:tcPr>
            <w:tcW w:w="6662" w:type="dxa"/>
            <w:shd w:val="clear" w:color="auto" w:fill="auto"/>
            <w:tcMar>
              <w:left w:w="107" w:type="dxa"/>
            </w:tcMar>
            <w:vAlign w:val="center"/>
          </w:tcPr>
          <w:p w:rsidR="004662A9" w:rsidRDefault="000F5583">
            <w:pPr>
              <w:spacing w:after="0" w:line="240" w:lineRule="auto"/>
              <w:cnfStyle w:val="000000010000" w:firstRow="0" w:lastRow="0" w:firstColumn="0" w:lastColumn="0" w:oddVBand="0" w:evenVBand="0" w:oddHBand="0" w:evenHBand="1" w:firstRowFirstColumn="0" w:firstRowLastColumn="0" w:lastRowFirstColumn="0" w:lastRowLastColumn="0"/>
            </w:pPr>
            <w:r>
              <w:rPr>
                <w:rFonts w:cs="Arial"/>
                <w:sz w:val="24"/>
              </w:rPr>
              <w:t>Julien.montillaud@univ-fcomte.fr</w:t>
            </w:r>
          </w:p>
        </w:tc>
      </w:tr>
      <w:tr w:rsidR="004662A9" w:rsidTr="00466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tcMar>
              <w:left w:w="107" w:type="dxa"/>
            </w:tcMar>
            <w:vAlign w:val="center"/>
          </w:tcPr>
          <w:p w:rsidR="004662A9" w:rsidRDefault="000F5583">
            <w:pPr>
              <w:spacing w:after="0" w:line="240" w:lineRule="auto"/>
              <w:rPr>
                <w:rFonts w:cs="Arial"/>
                <w:b w:val="0"/>
                <w:sz w:val="24"/>
                <w:szCs w:val="20"/>
              </w:rPr>
            </w:pPr>
            <w:r>
              <w:rPr>
                <w:rFonts w:ascii="Cambria" w:hAnsi="Cambria" w:cs="Arial"/>
                <w:sz w:val="24"/>
                <w:szCs w:val="20"/>
              </w:rPr>
              <w:t xml:space="preserve">Public visé - </w:t>
            </w:r>
            <w:r>
              <w:rPr>
                <w:rFonts w:ascii="Cambria" w:hAnsi="Cambria" w:cs="Arial"/>
                <w:i/>
                <w:sz w:val="18"/>
                <w:szCs w:val="18"/>
              </w:rPr>
              <w:t>indiquer quelles formations peuvent suivre (ou pas) les UEL (sauf SUP FC)</w:t>
            </w:r>
          </w:p>
        </w:tc>
        <w:tc>
          <w:tcPr>
            <w:tcW w:w="6662" w:type="dxa"/>
            <w:tcMar>
              <w:left w:w="107" w:type="dxa"/>
            </w:tcMar>
            <w:vAlign w:val="center"/>
          </w:tcPr>
          <w:p w:rsidR="004662A9" w:rsidRDefault="00B74AA2" w:rsidP="00853D2A">
            <w:pPr>
              <w:spacing w:after="0" w:line="240" w:lineRule="auto"/>
              <w:cnfStyle w:val="000000100000" w:firstRow="0" w:lastRow="0" w:firstColumn="0" w:lastColumn="0" w:oddVBand="0" w:evenVBand="0" w:oddHBand="1" w:evenHBand="0" w:firstRowFirstColumn="0" w:firstRowLastColumn="0" w:lastRowFirstColumn="0" w:lastRowLastColumn="0"/>
            </w:pPr>
            <w:r w:rsidRPr="00BF5314">
              <w:rPr>
                <w:rFonts w:cs="Arial"/>
              </w:rPr>
              <w:t>Licence,</w:t>
            </w:r>
            <w:r w:rsidR="000F5583" w:rsidRPr="00BF5314">
              <w:rPr>
                <w:rFonts w:cs="Arial"/>
              </w:rPr>
              <w:t xml:space="preserve"> master des composantes</w:t>
            </w:r>
            <w:r w:rsidR="00853D2A" w:rsidRPr="00BF5314">
              <w:rPr>
                <w:rFonts w:cs="Arial"/>
              </w:rPr>
              <w:t xml:space="preserve"> </w:t>
            </w:r>
            <w:r w:rsidR="00D83E7A" w:rsidRPr="00BF5314">
              <w:rPr>
                <w:rFonts w:cs="Arial"/>
              </w:rPr>
              <w:t>et doctorants</w:t>
            </w:r>
          </w:p>
        </w:tc>
      </w:tr>
      <w:tr w:rsidR="004662A9" w:rsidTr="00466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shd w:val="clear" w:color="auto" w:fill="auto"/>
            <w:tcMar>
              <w:left w:w="107" w:type="dxa"/>
            </w:tcMar>
            <w:vAlign w:val="center"/>
          </w:tcPr>
          <w:p w:rsidR="004662A9" w:rsidRDefault="000F5583">
            <w:pPr>
              <w:spacing w:after="0" w:line="240" w:lineRule="auto"/>
              <w:rPr>
                <w:rFonts w:cs="Arial"/>
                <w:b w:val="0"/>
                <w:sz w:val="24"/>
                <w:szCs w:val="20"/>
              </w:rPr>
            </w:pPr>
            <w:r>
              <w:rPr>
                <w:rFonts w:ascii="Cambria" w:hAnsi="Cambria" w:cs="Arial"/>
                <w:sz w:val="24"/>
                <w:szCs w:val="20"/>
              </w:rPr>
              <w:t xml:space="preserve">Accès </w:t>
            </w:r>
            <w:r>
              <w:rPr>
                <w:rFonts w:ascii="Cambria" w:hAnsi="Cambria" w:cs="Arial"/>
                <w:i/>
                <w:sz w:val="18"/>
                <w:szCs w:val="18"/>
              </w:rPr>
              <w:t>– indiquer toutes précisions utiles : effectifs maximum, modalité de sélection, si effectif limité, etc.</w:t>
            </w:r>
          </w:p>
        </w:tc>
        <w:tc>
          <w:tcPr>
            <w:tcW w:w="6662" w:type="dxa"/>
            <w:shd w:val="clear" w:color="auto" w:fill="auto"/>
            <w:tcMar>
              <w:left w:w="107" w:type="dxa"/>
            </w:tcMar>
            <w:vAlign w:val="center"/>
          </w:tcPr>
          <w:p w:rsidR="004662A9" w:rsidRDefault="000F5583">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16 maxi</w:t>
            </w:r>
          </w:p>
        </w:tc>
      </w:tr>
      <w:tr w:rsidR="004662A9" w:rsidTr="004662A9">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3793" w:type="dxa"/>
            <w:tcMar>
              <w:left w:w="107" w:type="dxa"/>
            </w:tcMar>
            <w:vAlign w:val="center"/>
          </w:tcPr>
          <w:p w:rsidR="004662A9" w:rsidRDefault="000F5583">
            <w:pPr>
              <w:spacing w:after="0" w:line="240" w:lineRule="auto"/>
              <w:rPr>
                <w:rFonts w:cs="Arial"/>
                <w:sz w:val="24"/>
                <w:szCs w:val="20"/>
              </w:rPr>
            </w:pPr>
            <w:r>
              <w:rPr>
                <w:rFonts w:ascii="Cambria" w:hAnsi="Cambria" w:cs="Arial"/>
                <w:sz w:val="24"/>
                <w:szCs w:val="20"/>
              </w:rPr>
              <w:t>Objectifs</w:t>
            </w:r>
          </w:p>
        </w:tc>
        <w:tc>
          <w:tcPr>
            <w:tcW w:w="6662" w:type="dxa"/>
            <w:tcMar>
              <w:left w:w="107" w:type="dxa"/>
            </w:tcMar>
            <w:vAlign w:val="center"/>
          </w:tcPr>
          <w:p w:rsidR="004662A9" w:rsidRDefault="000F5583">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Ouvrir les questions scientifiques et techniques aux grandes questions et enjeux sociétaux et environnementaux</w:t>
            </w:r>
          </w:p>
          <w:p w:rsidR="004662A9" w:rsidRDefault="000F5583">
            <w:pPr>
              <w:spacing w:after="0" w:line="240" w:lineRule="auto"/>
              <w:cnfStyle w:val="000000100000" w:firstRow="0" w:lastRow="0" w:firstColumn="0" w:lastColumn="0" w:oddVBand="0" w:evenVBand="0" w:oddHBand="1" w:evenHBand="0" w:firstRowFirstColumn="0" w:firstRowLastColumn="0" w:lastRowFirstColumn="0" w:lastRowLastColumn="0"/>
            </w:pPr>
            <w:r>
              <w:rPr>
                <w:rFonts w:cs="Arial"/>
              </w:rPr>
              <w:t>Inciter les étudiants à travailler en groupe, construire et mener à terme un projet mais aussi à lier leur formation aux problématiques socio-environnementales</w:t>
            </w:r>
          </w:p>
        </w:tc>
      </w:tr>
      <w:tr w:rsidR="004662A9" w:rsidTr="004662A9">
        <w:trPr>
          <w:cnfStyle w:val="000000010000" w:firstRow="0" w:lastRow="0" w:firstColumn="0" w:lastColumn="0" w:oddVBand="0" w:evenVBand="0" w:oddHBand="0" w:evenHBand="1"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3793" w:type="dxa"/>
            <w:shd w:val="clear" w:color="auto" w:fill="auto"/>
            <w:tcMar>
              <w:left w:w="107" w:type="dxa"/>
            </w:tcMar>
            <w:vAlign w:val="center"/>
          </w:tcPr>
          <w:p w:rsidR="004662A9" w:rsidRDefault="000F5583">
            <w:pPr>
              <w:spacing w:after="0" w:line="240" w:lineRule="auto"/>
              <w:rPr>
                <w:rFonts w:cs="Arial"/>
                <w:sz w:val="24"/>
                <w:szCs w:val="20"/>
              </w:rPr>
            </w:pPr>
            <w:r>
              <w:rPr>
                <w:rFonts w:ascii="Cambria" w:hAnsi="Cambria" w:cs="Arial"/>
                <w:sz w:val="24"/>
                <w:szCs w:val="20"/>
              </w:rPr>
              <w:t>Pré-requis</w:t>
            </w:r>
          </w:p>
        </w:tc>
        <w:tc>
          <w:tcPr>
            <w:tcW w:w="6662" w:type="dxa"/>
            <w:shd w:val="clear" w:color="auto" w:fill="auto"/>
            <w:tcMar>
              <w:left w:w="107" w:type="dxa"/>
            </w:tcMar>
            <w:vAlign w:val="center"/>
          </w:tcPr>
          <w:p w:rsidR="004662A9" w:rsidRDefault="000F5583">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aucun</w:t>
            </w:r>
          </w:p>
        </w:tc>
      </w:tr>
      <w:tr w:rsidR="004662A9" w:rsidTr="004662A9">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3793" w:type="dxa"/>
            <w:tcMar>
              <w:left w:w="107" w:type="dxa"/>
            </w:tcMar>
            <w:vAlign w:val="center"/>
          </w:tcPr>
          <w:p w:rsidR="004662A9" w:rsidRDefault="000F5583">
            <w:pPr>
              <w:spacing w:after="0" w:line="240" w:lineRule="auto"/>
              <w:rPr>
                <w:rFonts w:cs="Arial"/>
                <w:b w:val="0"/>
                <w:sz w:val="24"/>
                <w:szCs w:val="20"/>
              </w:rPr>
            </w:pPr>
            <w:r>
              <w:rPr>
                <w:rFonts w:ascii="Cambria" w:hAnsi="Cambria" w:cs="Arial"/>
                <w:sz w:val="24"/>
                <w:szCs w:val="20"/>
              </w:rPr>
              <w:t>Semestre(s) durant le(s)quel(s) se déroule(nt) l’UEL</w:t>
            </w:r>
          </w:p>
        </w:tc>
        <w:tc>
          <w:tcPr>
            <w:tcW w:w="6662" w:type="dxa"/>
            <w:tcMar>
              <w:left w:w="107" w:type="dxa"/>
            </w:tcMar>
            <w:vAlign w:val="center"/>
          </w:tcPr>
          <w:p w:rsidR="004662A9" w:rsidRDefault="000F5583">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Début de l’unité en octobre et résultats au semestre 2 (mai)</w:t>
            </w:r>
          </w:p>
        </w:tc>
      </w:tr>
      <w:tr w:rsidR="004662A9" w:rsidTr="004662A9">
        <w:trPr>
          <w:cnfStyle w:val="000000010000" w:firstRow="0" w:lastRow="0" w:firstColumn="0" w:lastColumn="0" w:oddVBand="0" w:evenVBand="0" w:oddHBand="0" w:evenHBand="1"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793" w:type="dxa"/>
            <w:shd w:val="clear" w:color="auto" w:fill="auto"/>
            <w:tcMar>
              <w:left w:w="107" w:type="dxa"/>
            </w:tcMar>
            <w:vAlign w:val="center"/>
          </w:tcPr>
          <w:p w:rsidR="004662A9" w:rsidRDefault="000F5583">
            <w:pPr>
              <w:spacing w:after="0" w:line="240" w:lineRule="auto"/>
              <w:rPr>
                <w:rFonts w:cs="Arial"/>
                <w:b w:val="0"/>
                <w:sz w:val="24"/>
                <w:szCs w:val="20"/>
              </w:rPr>
            </w:pPr>
            <w:r>
              <w:rPr>
                <w:rFonts w:ascii="Cambria" w:hAnsi="Cambria" w:cs="Arial"/>
                <w:sz w:val="24"/>
                <w:szCs w:val="20"/>
              </w:rPr>
              <w:t xml:space="preserve">Lieu où se déroule l’UEL – </w:t>
            </w:r>
            <w:r>
              <w:rPr>
                <w:rFonts w:ascii="Cambria" w:hAnsi="Cambria" w:cs="Arial"/>
                <w:i/>
                <w:sz w:val="18"/>
                <w:szCs w:val="18"/>
              </w:rPr>
              <w:t>indiquer la</w:t>
            </w:r>
            <w:r>
              <w:rPr>
                <w:rFonts w:ascii="Cambria" w:hAnsi="Cambria" w:cs="Arial"/>
                <w:sz w:val="18"/>
                <w:szCs w:val="18"/>
              </w:rPr>
              <w:t xml:space="preserve"> </w:t>
            </w:r>
            <w:r>
              <w:rPr>
                <w:rFonts w:ascii="Cambria" w:hAnsi="Cambria" w:cs="Arial"/>
                <w:i/>
                <w:sz w:val="18"/>
                <w:szCs w:val="18"/>
              </w:rPr>
              <w:t>ville + composante</w:t>
            </w:r>
          </w:p>
        </w:tc>
        <w:tc>
          <w:tcPr>
            <w:tcW w:w="6662" w:type="dxa"/>
            <w:shd w:val="clear" w:color="auto" w:fill="auto"/>
            <w:tcMar>
              <w:left w:w="107" w:type="dxa"/>
            </w:tcMar>
            <w:vAlign w:val="center"/>
          </w:tcPr>
          <w:p w:rsidR="004662A9" w:rsidRDefault="000F5583">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Besançon –UFR-ST</w:t>
            </w:r>
          </w:p>
        </w:tc>
      </w:tr>
      <w:tr w:rsidR="004662A9" w:rsidTr="004662A9">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3793" w:type="dxa"/>
            <w:tcMar>
              <w:left w:w="107" w:type="dxa"/>
            </w:tcMar>
            <w:vAlign w:val="center"/>
          </w:tcPr>
          <w:p w:rsidR="004662A9" w:rsidRDefault="000F5583">
            <w:pPr>
              <w:spacing w:after="0" w:line="240" w:lineRule="auto"/>
              <w:rPr>
                <w:rFonts w:cs="Arial"/>
                <w:b w:val="0"/>
                <w:sz w:val="24"/>
                <w:szCs w:val="20"/>
              </w:rPr>
            </w:pPr>
            <w:r>
              <w:rPr>
                <w:rFonts w:ascii="Cambria" w:hAnsi="Cambria" w:cs="Arial"/>
                <w:sz w:val="24"/>
                <w:szCs w:val="20"/>
              </w:rPr>
              <w:t xml:space="preserve">Horaires de l’UEL </w:t>
            </w:r>
            <w:r>
              <w:rPr>
                <w:rFonts w:ascii="Cambria" w:hAnsi="Cambria" w:cs="Arial"/>
                <w:sz w:val="18"/>
                <w:szCs w:val="18"/>
              </w:rPr>
              <w:t xml:space="preserve">– </w:t>
            </w:r>
            <w:r>
              <w:rPr>
                <w:rFonts w:ascii="Cambria" w:hAnsi="Cambria" w:cs="Arial"/>
                <w:i/>
                <w:sz w:val="18"/>
                <w:szCs w:val="18"/>
              </w:rPr>
              <w:t>indiquer le jour + créneau</w:t>
            </w:r>
          </w:p>
        </w:tc>
        <w:tc>
          <w:tcPr>
            <w:tcW w:w="6662" w:type="dxa"/>
            <w:tcMar>
              <w:left w:w="107" w:type="dxa"/>
            </w:tcMar>
            <w:vAlign w:val="center"/>
          </w:tcPr>
          <w:p w:rsidR="004662A9" w:rsidRDefault="000F5583">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Les créneaux seront définis en fonction des emplois du temps des étudiant.e.s  inscrit.e.s. (pendant le temps de midi ou fin d’après-midi)</w:t>
            </w:r>
          </w:p>
        </w:tc>
      </w:tr>
      <w:tr w:rsidR="004662A9" w:rsidTr="004662A9">
        <w:trPr>
          <w:cnfStyle w:val="000000010000" w:firstRow="0" w:lastRow="0" w:firstColumn="0" w:lastColumn="0" w:oddVBand="0" w:evenVBand="0" w:oddHBand="0" w:evenHBand="1"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3793" w:type="dxa"/>
            <w:shd w:val="clear" w:color="auto" w:fill="auto"/>
            <w:tcMar>
              <w:left w:w="107" w:type="dxa"/>
            </w:tcMar>
            <w:vAlign w:val="center"/>
          </w:tcPr>
          <w:p w:rsidR="004662A9" w:rsidRDefault="000F5583">
            <w:pPr>
              <w:spacing w:after="0" w:line="240" w:lineRule="auto"/>
              <w:rPr>
                <w:rFonts w:cs="Arial"/>
                <w:sz w:val="24"/>
                <w:szCs w:val="20"/>
              </w:rPr>
            </w:pPr>
            <w:r>
              <w:rPr>
                <w:rFonts w:ascii="Cambria" w:hAnsi="Cambria" w:cs="Arial"/>
                <w:sz w:val="24"/>
                <w:szCs w:val="20"/>
              </w:rPr>
              <w:t>Descriptif du contenu</w:t>
            </w:r>
          </w:p>
        </w:tc>
        <w:tc>
          <w:tcPr>
            <w:tcW w:w="6662" w:type="dxa"/>
            <w:shd w:val="clear" w:color="auto" w:fill="auto"/>
            <w:tcMar>
              <w:left w:w="107" w:type="dxa"/>
            </w:tcMar>
            <w:vAlign w:val="center"/>
          </w:tcPr>
          <w:p w:rsidR="004662A9" w:rsidRDefault="004662A9">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p w:rsidR="004662A9" w:rsidRDefault="000F5583">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Les étudiants par groupe choisiront un projet en lien avec le développement durable et l’environnement, par exemple parmi les thèmes suivants :</w:t>
            </w:r>
          </w:p>
          <w:p w:rsidR="004662A9" w:rsidRDefault="000F5583">
            <w:pPr>
              <w:pStyle w:val="Paragraphedeliste"/>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Les déchets : identification, évaluation des déchets dans l’environnement (sur le campus). Quelles actions pour limiter ces déchets ?</w:t>
            </w:r>
          </w:p>
          <w:p w:rsidR="004662A9" w:rsidRDefault="000F5583">
            <w:pPr>
              <w:pStyle w:val="Paragraphedeliste"/>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Les mégots : sensibilisation à l’impact sur la pollution. Est-il possible de les récupérer ? </w:t>
            </w:r>
          </w:p>
          <w:p w:rsidR="004662A9" w:rsidRDefault="000F5583">
            <w:pPr>
              <w:pStyle w:val="Paragraphedeliste"/>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pPr>
            <w:r>
              <w:rPr>
                <w:rFonts w:cs="Arial"/>
              </w:rPr>
              <w:t xml:space="preserve">L’eau : économiser l’eau, limiter sa pollution. </w:t>
            </w:r>
          </w:p>
          <w:p w:rsidR="004662A9" w:rsidRDefault="000F5583">
            <w:pPr>
              <w:pStyle w:val="Paragraphedeliste"/>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Quel est l’impact des plastiques ?</w:t>
            </w:r>
          </w:p>
          <w:p w:rsidR="004662A9" w:rsidRDefault="000F5583">
            <w:pPr>
              <w:pStyle w:val="Paragraphedeliste"/>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le covoiturage pour les étudiants. Est-il possible de le mettre en place ?</w:t>
            </w:r>
          </w:p>
          <w:p w:rsidR="004662A9" w:rsidRDefault="004662A9">
            <w:pPr>
              <w:pStyle w:val="Paragraphedeliste"/>
              <w:spacing w:after="0" w:line="240" w:lineRule="auto"/>
              <w:ind w:left="1080"/>
              <w:cnfStyle w:val="000000010000" w:firstRow="0" w:lastRow="0" w:firstColumn="0" w:lastColumn="0" w:oddVBand="0" w:evenVBand="0" w:oddHBand="0" w:evenHBand="1" w:firstRowFirstColumn="0" w:firstRowLastColumn="0" w:lastRowFirstColumn="0" w:lastRowLastColumn="0"/>
              <w:rPr>
                <w:rFonts w:cs="Arial"/>
              </w:rPr>
            </w:pPr>
          </w:p>
          <w:p w:rsidR="004662A9" w:rsidRDefault="004662A9">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p w:rsidR="004662A9" w:rsidRDefault="004662A9">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p w:rsidR="004662A9" w:rsidRDefault="004662A9">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r>
    </w:tbl>
    <w:p w:rsidR="004662A9" w:rsidRDefault="000F5583">
      <w:pPr>
        <w:spacing w:after="0"/>
        <w:rPr>
          <w:rFonts w:asciiTheme="majorHAnsi" w:hAnsiTheme="majorHAnsi" w:cs="Arial"/>
          <w:b/>
          <w:szCs w:val="20"/>
        </w:rPr>
      </w:pPr>
      <w:r>
        <w:rPr>
          <w:rFonts w:asciiTheme="majorHAnsi" w:hAnsiTheme="majorHAnsi" w:cs="Arial"/>
          <w:b/>
          <w:szCs w:val="20"/>
        </w:rPr>
        <w:t xml:space="preserve">Dont : </w:t>
      </w:r>
    </w:p>
    <w:tbl>
      <w:tblPr>
        <w:tblStyle w:val="Grilleclaire-Accent1"/>
        <w:tblW w:w="10456" w:type="dxa"/>
        <w:tblCellMar>
          <w:left w:w="107" w:type="dxa"/>
        </w:tblCellMar>
        <w:tblLook w:val="04A0" w:firstRow="1" w:lastRow="0" w:firstColumn="1" w:lastColumn="0" w:noHBand="0" w:noVBand="1"/>
      </w:tblPr>
      <w:tblGrid>
        <w:gridCol w:w="1951"/>
        <w:gridCol w:w="1843"/>
        <w:gridCol w:w="1842"/>
        <w:gridCol w:w="1844"/>
        <w:gridCol w:w="2976"/>
      </w:tblGrid>
      <w:tr w:rsidR="004662A9" w:rsidTr="004662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single" w:sz="18" w:space="0" w:color="4F81BD"/>
            </w:tcBorders>
            <w:shd w:val="clear" w:color="auto" w:fill="auto"/>
            <w:tcMar>
              <w:left w:w="107" w:type="dxa"/>
            </w:tcMar>
          </w:tcPr>
          <w:p w:rsidR="004662A9" w:rsidRDefault="000F5583">
            <w:pPr>
              <w:spacing w:after="0"/>
              <w:jc w:val="center"/>
              <w:rPr>
                <w:rFonts w:cs="Arial"/>
                <w:b w:val="0"/>
                <w:szCs w:val="20"/>
              </w:rPr>
            </w:pPr>
            <w:r>
              <w:rPr>
                <w:rFonts w:ascii="Cambria" w:hAnsi="Cambria" w:cs="Arial"/>
                <w:szCs w:val="20"/>
              </w:rPr>
              <w:t>Nb d’heures de travail personnel</w:t>
            </w:r>
          </w:p>
        </w:tc>
        <w:tc>
          <w:tcPr>
            <w:tcW w:w="1843" w:type="dxa"/>
            <w:tcBorders>
              <w:bottom w:val="single" w:sz="18" w:space="0" w:color="4F81BD"/>
            </w:tcBorders>
            <w:shd w:val="clear" w:color="auto" w:fill="auto"/>
            <w:tcMar>
              <w:left w:w="107" w:type="dxa"/>
            </w:tcMar>
          </w:tcPr>
          <w:p w:rsidR="004662A9" w:rsidRDefault="000F5583">
            <w:pPr>
              <w:spacing w:after="0"/>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Pr>
                <w:rFonts w:ascii="Cambria" w:hAnsi="Cambria" w:cs="Arial"/>
                <w:szCs w:val="20"/>
              </w:rPr>
              <w:t>CM</w:t>
            </w:r>
          </w:p>
        </w:tc>
        <w:tc>
          <w:tcPr>
            <w:tcW w:w="1842" w:type="dxa"/>
            <w:tcBorders>
              <w:bottom w:val="single" w:sz="18" w:space="0" w:color="4F81BD"/>
            </w:tcBorders>
            <w:shd w:val="clear" w:color="auto" w:fill="auto"/>
            <w:tcMar>
              <w:left w:w="107" w:type="dxa"/>
            </w:tcMar>
          </w:tcPr>
          <w:p w:rsidR="004662A9" w:rsidRDefault="000F5583">
            <w:pPr>
              <w:spacing w:after="0"/>
              <w:jc w:val="center"/>
              <w:cnfStyle w:val="100000000000" w:firstRow="1" w:lastRow="0" w:firstColumn="0" w:lastColumn="0" w:oddVBand="0" w:evenVBand="0" w:oddHBand="0" w:evenHBand="0" w:firstRowFirstColumn="0" w:firstRowLastColumn="0" w:lastRowFirstColumn="0" w:lastRowLastColumn="0"/>
              <w:rPr>
                <w:rFonts w:cs="Arial"/>
                <w:szCs w:val="20"/>
              </w:rPr>
            </w:pPr>
            <w:r>
              <w:rPr>
                <w:rFonts w:ascii="Cambria" w:hAnsi="Cambria" w:cs="Arial"/>
                <w:szCs w:val="20"/>
              </w:rPr>
              <w:t>TD</w:t>
            </w:r>
          </w:p>
          <w:p w:rsidR="004662A9" w:rsidRDefault="004662A9">
            <w:pPr>
              <w:spacing w:after="0"/>
              <w:jc w:val="center"/>
              <w:cnfStyle w:val="100000000000" w:firstRow="1" w:lastRow="0" w:firstColumn="0" w:lastColumn="0" w:oddVBand="0" w:evenVBand="0" w:oddHBand="0" w:evenHBand="0" w:firstRowFirstColumn="0" w:firstRowLastColumn="0" w:lastRowFirstColumn="0" w:lastRowLastColumn="0"/>
              <w:rPr>
                <w:rFonts w:cs="Arial"/>
                <w:szCs w:val="20"/>
              </w:rPr>
            </w:pPr>
          </w:p>
        </w:tc>
        <w:tc>
          <w:tcPr>
            <w:tcW w:w="1844" w:type="dxa"/>
            <w:tcBorders>
              <w:bottom w:val="single" w:sz="18" w:space="0" w:color="4F81BD"/>
            </w:tcBorders>
            <w:shd w:val="clear" w:color="auto" w:fill="auto"/>
            <w:tcMar>
              <w:left w:w="107" w:type="dxa"/>
            </w:tcMar>
          </w:tcPr>
          <w:p w:rsidR="004662A9" w:rsidRDefault="000F5583">
            <w:pPr>
              <w:spacing w:after="0"/>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Pr>
                <w:rFonts w:ascii="Cambria" w:hAnsi="Cambria" w:cs="Arial"/>
                <w:szCs w:val="20"/>
              </w:rPr>
              <w:t>TP</w:t>
            </w:r>
          </w:p>
        </w:tc>
        <w:tc>
          <w:tcPr>
            <w:tcW w:w="2976" w:type="dxa"/>
            <w:tcBorders>
              <w:bottom w:val="single" w:sz="18" w:space="0" w:color="4F81BD"/>
            </w:tcBorders>
            <w:shd w:val="clear" w:color="auto" w:fill="auto"/>
            <w:tcMar>
              <w:left w:w="107" w:type="dxa"/>
            </w:tcMar>
          </w:tcPr>
          <w:p w:rsidR="004662A9" w:rsidRDefault="000F5583">
            <w:pPr>
              <w:spacing w:after="0"/>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Pr>
                <w:rFonts w:ascii="Cambria" w:hAnsi="Cambria" w:cs="Arial"/>
                <w:szCs w:val="20"/>
              </w:rPr>
              <w:t>Total heures étudiants</w:t>
            </w:r>
          </w:p>
        </w:tc>
      </w:tr>
      <w:tr w:rsidR="004662A9" w:rsidTr="00466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Mar>
              <w:left w:w="107" w:type="dxa"/>
            </w:tcMar>
          </w:tcPr>
          <w:p w:rsidR="004662A9" w:rsidRDefault="000F5583">
            <w:pPr>
              <w:spacing w:after="0"/>
              <w:jc w:val="center"/>
              <w:rPr>
                <w:rFonts w:cs="Arial"/>
                <w:b w:val="0"/>
                <w:szCs w:val="20"/>
              </w:rPr>
            </w:pPr>
            <w:r>
              <w:rPr>
                <w:rFonts w:ascii="Cambria" w:hAnsi="Cambria" w:cs="Arial"/>
                <w:b w:val="0"/>
                <w:szCs w:val="20"/>
              </w:rPr>
              <w:t>10h</w:t>
            </w:r>
          </w:p>
        </w:tc>
        <w:tc>
          <w:tcPr>
            <w:tcW w:w="1843" w:type="dxa"/>
            <w:tcMar>
              <w:left w:w="107" w:type="dxa"/>
            </w:tcMar>
          </w:tcPr>
          <w:p w:rsidR="004662A9" w:rsidRDefault="004662A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b/>
                <w:szCs w:val="20"/>
              </w:rPr>
            </w:pPr>
          </w:p>
        </w:tc>
        <w:tc>
          <w:tcPr>
            <w:tcW w:w="1842" w:type="dxa"/>
            <w:tcMar>
              <w:left w:w="107" w:type="dxa"/>
            </w:tcMar>
          </w:tcPr>
          <w:p w:rsidR="004662A9" w:rsidRDefault="000F5583">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szCs w:val="20"/>
              </w:rPr>
            </w:pPr>
            <w:r>
              <w:rPr>
                <w:rFonts w:asciiTheme="majorHAnsi" w:hAnsiTheme="majorHAnsi" w:cs="Arial"/>
                <w:szCs w:val="20"/>
              </w:rPr>
              <w:t xml:space="preserve">      15h</w:t>
            </w:r>
          </w:p>
        </w:tc>
        <w:tc>
          <w:tcPr>
            <w:tcW w:w="1844" w:type="dxa"/>
            <w:tcMar>
              <w:left w:w="107" w:type="dxa"/>
            </w:tcMar>
          </w:tcPr>
          <w:p w:rsidR="004662A9" w:rsidRDefault="004662A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b/>
                <w:szCs w:val="20"/>
              </w:rPr>
            </w:pPr>
          </w:p>
        </w:tc>
        <w:tc>
          <w:tcPr>
            <w:tcW w:w="2976" w:type="dxa"/>
            <w:tcMar>
              <w:left w:w="107" w:type="dxa"/>
            </w:tcMar>
          </w:tcPr>
          <w:p w:rsidR="004662A9" w:rsidRDefault="000F5583">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szCs w:val="20"/>
              </w:rPr>
            </w:pPr>
            <w:r>
              <w:rPr>
                <w:rFonts w:asciiTheme="majorHAnsi" w:hAnsiTheme="majorHAnsi" w:cs="Arial"/>
                <w:szCs w:val="20"/>
              </w:rPr>
              <w:t xml:space="preserve">        25h</w:t>
            </w:r>
          </w:p>
        </w:tc>
      </w:tr>
    </w:tbl>
    <w:p w:rsidR="004662A9" w:rsidRDefault="004662A9">
      <w:pPr>
        <w:spacing w:after="0"/>
        <w:ind w:firstLine="708"/>
        <w:rPr>
          <w:rFonts w:cs="Arial"/>
          <w:b/>
          <w:szCs w:val="20"/>
        </w:rPr>
      </w:pPr>
    </w:p>
    <w:tbl>
      <w:tblPr>
        <w:tblStyle w:val="Grilleclaire-Accent1"/>
        <w:tblW w:w="10456" w:type="dxa"/>
        <w:tblCellMar>
          <w:left w:w="107" w:type="dxa"/>
        </w:tblCellMar>
        <w:tblLook w:val="04A0" w:firstRow="1" w:lastRow="0" w:firstColumn="1" w:lastColumn="0" w:noHBand="0" w:noVBand="1"/>
      </w:tblPr>
      <w:tblGrid>
        <w:gridCol w:w="3793"/>
        <w:gridCol w:w="6663"/>
      </w:tblGrid>
      <w:tr w:rsidR="004662A9" w:rsidTr="004662A9">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793" w:type="dxa"/>
            <w:tcBorders>
              <w:bottom w:val="single" w:sz="18" w:space="0" w:color="4F81BD"/>
            </w:tcBorders>
            <w:shd w:val="clear" w:color="auto" w:fill="auto"/>
            <w:tcMar>
              <w:left w:w="107" w:type="dxa"/>
            </w:tcMar>
            <w:vAlign w:val="center"/>
          </w:tcPr>
          <w:p w:rsidR="004662A9" w:rsidRDefault="000F5583">
            <w:pPr>
              <w:spacing w:after="0" w:line="240" w:lineRule="auto"/>
              <w:rPr>
                <w:rFonts w:cs="Arial"/>
                <w:sz w:val="24"/>
                <w:szCs w:val="20"/>
              </w:rPr>
            </w:pPr>
            <w:r>
              <w:rPr>
                <w:rFonts w:ascii="Cambria" w:hAnsi="Cambria" w:cs="Arial"/>
                <w:sz w:val="24"/>
                <w:szCs w:val="20"/>
              </w:rPr>
              <w:t>Déroulement / Organisation</w:t>
            </w:r>
          </w:p>
        </w:tc>
        <w:tc>
          <w:tcPr>
            <w:tcW w:w="6662" w:type="dxa"/>
            <w:tcBorders>
              <w:bottom w:val="single" w:sz="18" w:space="0" w:color="4F81BD"/>
            </w:tcBorders>
            <w:shd w:val="clear" w:color="auto" w:fill="auto"/>
            <w:tcMar>
              <w:left w:w="107" w:type="dxa"/>
            </w:tcMar>
          </w:tcPr>
          <w:p w:rsidR="004662A9" w:rsidRDefault="000F5583">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szCs w:val="20"/>
              </w:rPr>
            </w:pPr>
            <w:r>
              <w:rPr>
                <w:rFonts w:ascii="Cambria" w:hAnsi="Cambria" w:cs="Arial"/>
                <w:b w:val="0"/>
                <w:szCs w:val="20"/>
              </w:rPr>
              <w:t xml:space="preserve">Les étudiants travailleront par groupe et choisiront un thème. Ils devront faire une analyse bibliographique et rédiger une synthèse, pour ensuite proposer des axes possibles afin de construire leur projet. Ils seront amenés à se concerter pour faire émerger un axe. </w:t>
            </w:r>
          </w:p>
          <w:p w:rsidR="004662A9" w:rsidRDefault="000F5583">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szCs w:val="20"/>
              </w:rPr>
            </w:pPr>
            <w:r>
              <w:rPr>
                <w:rFonts w:ascii="Cambria" w:hAnsi="Cambria" w:cs="Arial"/>
                <w:b w:val="0"/>
                <w:szCs w:val="20"/>
              </w:rPr>
              <w:t>A la fin du projet, ils devront rédiger un dossier et si possible ( en fonction des emplois du temps) faire une présentation orale devant des étudiants de licence.</w:t>
            </w:r>
          </w:p>
          <w:p w:rsidR="004662A9" w:rsidRDefault="004662A9">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szCs w:val="20"/>
              </w:rPr>
            </w:pPr>
          </w:p>
          <w:p w:rsidR="004662A9" w:rsidRDefault="000F5583">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szCs w:val="20"/>
              </w:rPr>
            </w:pPr>
            <w:r>
              <w:rPr>
                <w:rFonts w:ascii="Cambria" w:hAnsi="Cambria" w:cs="Arial"/>
                <w:b w:val="0"/>
                <w:szCs w:val="20"/>
              </w:rPr>
              <w:t>Ils auront également des enseignements sur :</w:t>
            </w:r>
          </w:p>
          <w:p w:rsidR="004662A9" w:rsidRDefault="000F5583">
            <w:pPr>
              <w:pStyle w:val="Paragraphedeliste"/>
              <w:numPr>
                <w:ilvl w:val="0"/>
                <w:numId w:val="1"/>
              </w:num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szCs w:val="20"/>
              </w:rPr>
            </w:pPr>
            <w:r>
              <w:rPr>
                <w:rFonts w:ascii="Cambria" w:hAnsi="Cambria" w:cs="Arial"/>
                <w:b w:val="0"/>
                <w:szCs w:val="20"/>
              </w:rPr>
              <w:t>Le développement durable (4h30 TD )</w:t>
            </w:r>
          </w:p>
          <w:p w:rsidR="004662A9" w:rsidRDefault="000F5583">
            <w:pPr>
              <w:pStyle w:val="Paragraphedeliste"/>
              <w:numPr>
                <w:ilvl w:val="0"/>
                <w:numId w:val="1"/>
              </w:num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szCs w:val="20"/>
              </w:rPr>
            </w:pPr>
            <w:r>
              <w:rPr>
                <w:rFonts w:ascii="Cambria" w:hAnsi="Cambria" w:cs="Arial"/>
                <w:b w:val="0"/>
                <w:szCs w:val="20"/>
              </w:rPr>
              <w:t>L’eau et le changement climatique (3h TD)</w:t>
            </w:r>
          </w:p>
          <w:p w:rsidR="004662A9" w:rsidRDefault="004662A9">
            <w:pPr>
              <w:pStyle w:val="Paragraphedeliste"/>
              <w:spacing w:after="0" w:line="240" w:lineRule="auto"/>
              <w:ind w:left="1080"/>
              <w:cnfStyle w:val="100000000000" w:firstRow="1" w:lastRow="0" w:firstColumn="0" w:lastColumn="0" w:oddVBand="0" w:evenVBand="0" w:oddHBand="0" w:evenHBand="0" w:firstRowFirstColumn="0" w:firstRowLastColumn="0" w:lastRowFirstColumn="0" w:lastRowLastColumn="0"/>
              <w:rPr>
                <w:rFonts w:cs="Arial"/>
                <w:b w:val="0"/>
                <w:szCs w:val="20"/>
              </w:rPr>
            </w:pPr>
          </w:p>
        </w:tc>
      </w:tr>
      <w:tr w:rsidR="004662A9" w:rsidTr="004662A9">
        <w:trPr>
          <w:cnfStyle w:val="000000100000" w:firstRow="0" w:lastRow="0" w:firstColumn="0" w:lastColumn="0" w:oddVBand="0" w:evenVBand="0" w:oddHBand="1" w:evenHBand="0" w:firstRowFirstColumn="0" w:firstRowLastColumn="0" w:lastRowFirstColumn="0" w:lastRowLastColumn="0"/>
          <w:trHeight w:val="1654"/>
        </w:trPr>
        <w:tc>
          <w:tcPr>
            <w:cnfStyle w:val="001000000000" w:firstRow="0" w:lastRow="0" w:firstColumn="1" w:lastColumn="0" w:oddVBand="0" w:evenVBand="0" w:oddHBand="0" w:evenHBand="0" w:firstRowFirstColumn="0" w:firstRowLastColumn="0" w:lastRowFirstColumn="0" w:lastRowLastColumn="0"/>
            <w:tcW w:w="3793" w:type="dxa"/>
            <w:tcMar>
              <w:left w:w="107" w:type="dxa"/>
            </w:tcMar>
            <w:vAlign w:val="center"/>
          </w:tcPr>
          <w:p w:rsidR="004662A9" w:rsidRDefault="000F5583">
            <w:pPr>
              <w:spacing w:after="0" w:line="240" w:lineRule="auto"/>
              <w:rPr>
                <w:rFonts w:cs="Arial"/>
                <w:b w:val="0"/>
                <w:szCs w:val="20"/>
              </w:rPr>
            </w:pPr>
            <w:r>
              <w:rPr>
                <w:rFonts w:ascii="Cambria" w:hAnsi="Cambria" w:cs="Arial"/>
                <w:sz w:val="24"/>
                <w:szCs w:val="20"/>
              </w:rPr>
              <w:t xml:space="preserve">Modalités de contrôle des aptitudes et des connaissances </w:t>
            </w:r>
            <w:r>
              <w:rPr>
                <w:rFonts w:ascii="Cambria" w:hAnsi="Cambria" w:cs="Arial"/>
                <w:szCs w:val="20"/>
              </w:rPr>
              <w:t xml:space="preserve">– </w:t>
            </w:r>
            <w:r>
              <w:rPr>
                <w:rFonts w:ascii="Cambria" w:hAnsi="Cambria" w:cs="Arial"/>
                <w:i/>
                <w:sz w:val="18"/>
                <w:szCs w:val="18"/>
              </w:rPr>
              <w:t>indiquer la nature de l’épreuve (ex : entretien), le type (écrit ou oral), CC ou CT, la durée de l’épreuve et le coefficient.</w:t>
            </w:r>
          </w:p>
        </w:tc>
        <w:tc>
          <w:tcPr>
            <w:tcW w:w="6662" w:type="dxa"/>
            <w:tcMar>
              <w:left w:w="107" w:type="dxa"/>
            </w:tcMar>
          </w:tcPr>
          <w:p w:rsidR="004662A9" w:rsidRDefault="004662A9">
            <w:pPr>
              <w:spacing w:after="0" w:line="240" w:lineRule="auto"/>
              <w:cnfStyle w:val="000000100000" w:firstRow="0" w:lastRow="0" w:firstColumn="0" w:lastColumn="0" w:oddVBand="0" w:evenVBand="0" w:oddHBand="1" w:evenHBand="0" w:firstRowFirstColumn="0" w:firstRowLastColumn="0" w:lastRowFirstColumn="0" w:lastRowLastColumn="0"/>
              <w:rPr>
                <w:rFonts w:cs="Arial"/>
                <w:b/>
                <w:szCs w:val="20"/>
              </w:rPr>
            </w:pPr>
          </w:p>
          <w:p w:rsidR="004662A9" w:rsidRDefault="000F5583">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Rapport écrit ou exposé par groupe avec support diaporama</w:t>
            </w:r>
          </w:p>
        </w:tc>
      </w:tr>
      <w:tr w:rsidR="004662A9" w:rsidTr="00466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shd w:val="clear" w:color="auto" w:fill="auto"/>
            <w:tcMar>
              <w:left w:w="107" w:type="dxa"/>
            </w:tcMar>
            <w:vAlign w:val="center"/>
          </w:tcPr>
          <w:p w:rsidR="004662A9" w:rsidRPr="00BF5314" w:rsidRDefault="000F5583">
            <w:pPr>
              <w:spacing w:after="0"/>
              <w:rPr>
                <w:rFonts w:cs="Arial"/>
                <w:b w:val="0"/>
                <w:sz w:val="24"/>
                <w:szCs w:val="24"/>
              </w:rPr>
            </w:pPr>
            <w:bookmarkStart w:id="0" w:name="_GoBack" w:colFirst="0" w:colLast="1"/>
            <w:r w:rsidRPr="00BF5314">
              <w:rPr>
                <w:rFonts w:ascii="Cambria" w:hAnsi="Cambria" w:cs="Arial"/>
                <w:sz w:val="24"/>
                <w:szCs w:val="24"/>
              </w:rPr>
              <w:t xml:space="preserve">Modalités de validation – </w:t>
            </w:r>
          </w:p>
          <w:p w:rsidR="000F5583" w:rsidRPr="00BF5314" w:rsidRDefault="000F5583" w:rsidP="000F5583">
            <w:pPr>
              <w:rPr>
                <w:i/>
              </w:rPr>
            </w:pPr>
            <w:r w:rsidRPr="00BF5314">
              <w:rPr>
                <w:b w:val="0"/>
                <w:i/>
              </w:rPr>
              <w:t xml:space="preserve">Rappel des principes généraux : </w:t>
            </w:r>
          </w:p>
          <w:p w:rsidR="000F5583" w:rsidRPr="00BF5314" w:rsidRDefault="000F5583" w:rsidP="000F5583">
            <w:pPr>
              <w:rPr>
                <w:b w:val="0"/>
                <w:i/>
              </w:rPr>
            </w:pPr>
            <w:r w:rsidRPr="00BF5314">
              <w:rPr>
                <w:b w:val="0"/>
                <w:i/>
              </w:rPr>
              <w:t xml:space="preserve">L’UEL peut prévoir l’attribution de points bonus (0.20 points maximum sur la moyenne du semestre). Pour les étudiants en Licence Professionnelle : 0.2 points bonus maximum, octroyé </w:t>
            </w:r>
            <w:r w:rsidRPr="00BF5314">
              <w:rPr>
                <w:b w:val="0"/>
                <w:i/>
                <w:u w:val="single"/>
              </w:rPr>
              <w:t>une seule fois,</w:t>
            </w:r>
            <w:r w:rsidRPr="00BF5314">
              <w:rPr>
                <w:b w:val="0"/>
                <w:i/>
              </w:rPr>
              <w:t xml:space="preserve"> sur la moyenne de l’année.</w:t>
            </w:r>
          </w:p>
          <w:p w:rsidR="000F5583" w:rsidRPr="00BF5314" w:rsidRDefault="000F5583" w:rsidP="000F5583">
            <w:pPr>
              <w:rPr>
                <w:b w:val="0"/>
                <w:i/>
              </w:rPr>
            </w:pPr>
            <w:r w:rsidRPr="00BF5314">
              <w:rPr>
                <w:b w:val="0"/>
                <w:i/>
              </w:rPr>
              <w:t>Lorsqu’ils existent, tous les étudiants peuvent bénéficier des points bonus sauf, les doctorants et les étudiants de l’UFR SANT</w:t>
            </w:r>
            <w:r w:rsidRPr="00BF5314">
              <w:rPr>
                <w:rFonts w:ascii="Times New Roman" w:hAnsi="Times New Roman" w:cs="Times New Roman"/>
                <w:b w:val="0"/>
                <w:i/>
              </w:rPr>
              <w:t>É</w:t>
            </w:r>
            <w:r w:rsidRPr="00BF5314">
              <w:rPr>
                <w:b w:val="0"/>
                <w:i/>
              </w:rPr>
              <w:t xml:space="preserve"> (à l’exception des étudiants en pharmacie).</w:t>
            </w:r>
          </w:p>
          <w:p w:rsidR="000F5583" w:rsidRPr="00BF5314" w:rsidRDefault="000F5583" w:rsidP="000F5583">
            <w:pPr>
              <w:rPr>
                <w:b w:val="0"/>
                <w:i/>
              </w:rPr>
            </w:pPr>
            <w:r w:rsidRPr="00BF5314">
              <w:rPr>
                <w:b w:val="0"/>
                <w:i/>
              </w:rPr>
              <w:t>L’UEL peut aussi prévoir l’attribution de crédits ECTS. Le cas échéant, les crédits obtenus au titre de l’UEL sont indépendants et ne peuvent donc pas être utilisés en vue de remplacer des ECTS manquants pour l’obtention d’un diplôme.</w:t>
            </w:r>
          </w:p>
          <w:p w:rsidR="004662A9" w:rsidRPr="00BF5314" w:rsidRDefault="004662A9" w:rsidP="000F5583">
            <w:pPr>
              <w:pStyle w:val="Standard"/>
              <w:rPr>
                <w:rFonts w:ascii="Cambria" w:hAnsi="Cambria" w:cs="Arial"/>
                <w:i/>
                <w:sz w:val="18"/>
                <w:szCs w:val="18"/>
              </w:rPr>
            </w:pPr>
          </w:p>
        </w:tc>
        <w:tc>
          <w:tcPr>
            <w:tcW w:w="6662" w:type="dxa"/>
            <w:shd w:val="clear" w:color="auto" w:fill="auto"/>
            <w:tcMar>
              <w:left w:w="107" w:type="dxa"/>
            </w:tcMar>
          </w:tcPr>
          <w:p w:rsidR="004662A9" w:rsidRPr="00BF5314" w:rsidRDefault="004662A9">
            <w:pPr>
              <w:spacing w:after="0" w:line="240" w:lineRule="auto"/>
              <w:cnfStyle w:val="000000010000" w:firstRow="0" w:lastRow="0" w:firstColumn="0" w:lastColumn="0" w:oddVBand="0" w:evenVBand="0" w:oddHBand="0" w:evenHBand="1" w:firstRowFirstColumn="0" w:firstRowLastColumn="0" w:lastRowFirstColumn="0" w:lastRowLastColumn="0"/>
              <w:rPr>
                <w:rFonts w:cs="Arial"/>
                <w:b/>
                <w:szCs w:val="20"/>
              </w:rPr>
            </w:pPr>
          </w:p>
          <w:p w:rsidR="004662A9" w:rsidRPr="00BF5314" w:rsidRDefault="000F5583">
            <w:pPr>
              <w:spacing w:after="0" w:line="240" w:lineRule="auto"/>
              <w:cnfStyle w:val="000000010000" w:firstRow="0" w:lastRow="0" w:firstColumn="0" w:lastColumn="0" w:oddVBand="0" w:evenVBand="0" w:oddHBand="0" w:evenHBand="1" w:firstRowFirstColumn="0" w:firstRowLastColumn="0" w:lastRowFirstColumn="0" w:lastRowLastColumn="0"/>
              <w:rPr>
                <w:rFonts w:cs="Arial"/>
                <w:szCs w:val="20"/>
              </w:rPr>
            </w:pPr>
            <w:r w:rsidRPr="00BF5314">
              <w:rPr>
                <w:rFonts w:cs="Arial"/>
                <w:szCs w:val="20"/>
              </w:rPr>
              <w:t>Points bonus (0.2 maxi sur la moyenne du deuxième semestre)</w:t>
            </w:r>
          </w:p>
        </w:tc>
      </w:tr>
      <w:bookmarkEnd w:id="0"/>
    </w:tbl>
    <w:p w:rsidR="004662A9" w:rsidRDefault="004662A9">
      <w:pPr>
        <w:spacing w:after="0"/>
      </w:pPr>
    </w:p>
    <w:sectPr w:rsidR="004662A9">
      <w:headerReference w:type="default" r:id="rId9"/>
      <w:footerReference w:type="default" r:id="rId10"/>
      <w:pgSz w:w="11906" w:h="16838"/>
      <w:pgMar w:top="766" w:right="851" w:bottom="766" w:left="851"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C1" w:rsidRDefault="003328C1">
      <w:pPr>
        <w:spacing w:after="0" w:line="240" w:lineRule="auto"/>
      </w:pPr>
      <w:r>
        <w:separator/>
      </w:r>
    </w:p>
  </w:endnote>
  <w:endnote w:type="continuationSeparator" w:id="0">
    <w:p w:rsidR="003328C1" w:rsidRDefault="0033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736654"/>
      <w:docPartObj>
        <w:docPartGallery w:val="Page Numbers (Bottom of Page)"/>
        <w:docPartUnique/>
      </w:docPartObj>
    </w:sdtPr>
    <w:sdtEndPr/>
    <w:sdtContent>
      <w:p w:rsidR="004662A9" w:rsidRDefault="000F5583">
        <w:pPr>
          <w:pStyle w:val="Pieddepage"/>
          <w:jc w:val="right"/>
        </w:pPr>
        <w:r>
          <w:fldChar w:fldCharType="begin"/>
        </w:r>
        <w:r>
          <w:instrText>PAGE</w:instrText>
        </w:r>
        <w:r>
          <w:fldChar w:fldCharType="separate"/>
        </w:r>
        <w:r w:rsidR="00BF5314">
          <w:rPr>
            <w:noProof/>
          </w:rPr>
          <w:t>2</w:t>
        </w:r>
        <w:r>
          <w:fldChar w:fldCharType="end"/>
        </w:r>
      </w:p>
    </w:sdtContent>
  </w:sdt>
  <w:p w:rsidR="004662A9" w:rsidRDefault="004662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C1" w:rsidRDefault="003328C1">
      <w:pPr>
        <w:spacing w:after="0" w:line="240" w:lineRule="auto"/>
      </w:pPr>
      <w:r>
        <w:separator/>
      </w:r>
    </w:p>
  </w:footnote>
  <w:footnote w:type="continuationSeparator" w:id="0">
    <w:p w:rsidR="003328C1" w:rsidRDefault="00332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right w:val="single" w:sz="18" w:space="0" w:color="808080"/>
        <w:insideH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134"/>
      <w:gridCol w:w="1300"/>
    </w:tblGrid>
    <w:tr w:rsidR="004662A9">
      <w:trPr>
        <w:trHeight w:val="288"/>
      </w:trPr>
      <w:tc>
        <w:tcPr>
          <w:tcW w:w="8932" w:type="dxa"/>
          <w:tcBorders>
            <w:bottom w:val="single" w:sz="18" w:space="0" w:color="808080"/>
            <w:right w:val="single" w:sz="18" w:space="0" w:color="808080"/>
          </w:tcBorders>
          <w:shd w:val="clear" w:color="auto" w:fill="auto"/>
        </w:tcPr>
        <w:sdt>
          <w:sdtPr>
            <w:alias w:val="Titre"/>
            <w:id w:val="1911420169"/>
            <w:dataBinding w:prefixMappings="xmlns:ns0='http://schemas.openxmlformats.org/package/2006/metadata/core-properties' xmlns:ns1='http://purl.org/dc/elements/1.1/'" w:xpath="/ns0:coreProperties[1]/ns1:title[1]" w:storeItemID="{6C3C8BC8-F283-45AE-878A-BAB7291924A1}"/>
            <w:text/>
          </w:sdtPr>
          <w:sdtEndPr/>
          <w:sdtContent>
            <w:p w:rsidR="004662A9" w:rsidRDefault="000F5583">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Campagne</w:t>
              </w:r>
            </w:p>
          </w:sdtContent>
        </w:sdt>
      </w:tc>
      <w:tc>
        <w:tcPr>
          <w:tcW w:w="1271" w:type="dxa"/>
          <w:tcBorders>
            <w:left w:val="single" w:sz="18" w:space="0" w:color="808080"/>
            <w:bottom w:val="single" w:sz="18" w:space="0" w:color="808080"/>
          </w:tcBorders>
          <w:shd w:val="clear" w:color="auto" w:fill="auto"/>
          <w:tcMar>
            <w:left w:w="92" w:type="dxa"/>
          </w:tcMar>
        </w:tcPr>
        <w:sdt>
          <w:sdtPr>
            <w:alias w:val="Année"/>
            <w:id w:val="1970167951"/>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p w:rsidR="004662A9" w:rsidRDefault="000F5583">
              <w:pPr>
                <w:pStyle w:val="En-tte"/>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UEL</w:t>
              </w:r>
            </w:p>
          </w:sdtContent>
        </w:sdt>
      </w:tc>
    </w:tr>
  </w:tbl>
  <w:p w:rsidR="004662A9" w:rsidRDefault="004662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55CF"/>
    <w:multiLevelType w:val="multilevel"/>
    <w:tmpl w:val="5B982E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4EF2A5C"/>
    <w:multiLevelType w:val="multilevel"/>
    <w:tmpl w:val="A66AA002"/>
    <w:lvl w:ilvl="0">
      <w:start w:val="15"/>
      <w:numFmt w:val="bullet"/>
      <w:lvlText w:val="-"/>
      <w:lvlJc w:val="left"/>
      <w:pPr>
        <w:ind w:left="1080" w:hanging="360"/>
      </w:pPr>
      <w:rPr>
        <w:rFonts w:ascii="Calibri" w:hAnsi="Calibri" w:cs="Aria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A9"/>
    <w:rsid w:val="000F5583"/>
    <w:rsid w:val="003328C1"/>
    <w:rsid w:val="003D156D"/>
    <w:rsid w:val="004662A9"/>
    <w:rsid w:val="004F486D"/>
    <w:rsid w:val="00717931"/>
    <w:rsid w:val="00853D2A"/>
    <w:rsid w:val="0090095C"/>
    <w:rsid w:val="0097766A"/>
    <w:rsid w:val="00B028D1"/>
    <w:rsid w:val="00B74AA2"/>
    <w:rsid w:val="00B82E54"/>
    <w:rsid w:val="00BF5314"/>
    <w:rsid w:val="00D649D0"/>
    <w:rsid w:val="00D83E7A"/>
    <w:rsid w:val="00E0674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AF2A9-5849-4030-BF37-E617CA96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040D9"/>
  </w:style>
  <w:style w:type="character" w:customStyle="1" w:styleId="PieddepageCar">
    <w:name w:val="Pied de page Car"/>
    <w:basedOn w:val="Policepardfaut"/>
    <w:link w:val="Pieddepage"/>
    <w:uiPriority w:val="99"/>
    <w:qFormat/>
    <w:rsid w:val="00C040D9"/>
  </w:style>
  <w:style w:type="character" w:customStyle="1" w:styleId="TextedebullesCar">
    <w:name w:val="Texte de bulles Car"/>
    <w:basedOn w:val="Policepardfaut"/>
    <w:link w:val="Textedebulles"/>
    <w:uiPriority w:val="99"/>
    <w:semiHidden/>
    <w:qFormat/>
    <w:rsid w:val="00C040D9"/>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Arial"/>
      <w:b w:val="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253F73"/>
    <w:pPr>
      <w:ind w:left="720"/>
      <w:contextualSpacing/>
    </w:pPr>
  </w:style>
  <w:style w:type="paragraph" w:styleId="En-tte">
    <w:name w:val="header"/>
    <w:basedOn w:val="Normal"/>
    <w:uiPriority w:val="99"/>
    <w:unhideWhenUsed/>
    <w:rsid w:val="00C040D9"/>
    <w:pPr>
      <w:tabs>
        <w:tab w:val="center" w:pos="4536"/>
        <w:tab w:val="right" w:pos="9072"/>
      </w:tabs>
      <w:spacing w:after="0" w:line="240" w:lineRule="auto"/>
    </w:pPr>
  </w:style>
  <w:style w:type="paragraph" w:styleId="Pieddepage">
    <w:name w:val="footer"/>
    <w:basedOn w:val="Normal"/>
    <w:link w:val="PieddepageCar"/>
    <w:uiPriority w:val="99"/>
    <w:unhideWhenUsed/>
    <w:rsid w:val="00C040D9"/>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C040D9"/>
    <w:pPr>
      <w:spacing w:after="0" w:line="240" w:lineRule="auto"/>
    </w:pPr>
    <w:rPr>
      <w:rFonts w:ascii="Tahoma" w:hAnsi="Tahoma" w:cs="Tahoma"/>
      <w:sz w:val="16"/>
      <w:szCs w:val="16"/>
    </w:rPr>
  </w:style>
  <w:style w:type="paragraph" w:customStyle="1" w:styleId="Standard">
    <w:name w:val="Standard"/>
    <w:qFormat/>
    <w:rsid w:val="00E3032D"/>
    <w:pPr>
      <w:suppressAutoHyphens/>
      <w:textAlignment w:val="baseline"/>
    </w:pPr>
    <w:rPr>
      <w:rFonts w:eastAsia="SimSun" w:cs="Calibri"/>
    </w:rPr>
  </w:style>
  <w:style w:type="table" w:styleId="Grilledutableau">
    <w:name w:val="Table Grid"/>
    <w:basedOn w:val="TableauNormal"/>
    <w:uiPriority w:val="59"/>
    <w:rsid w:val="0025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475C9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claire-Accent1">
    <w:name w:val="Light Grid Accent 1"/>
    <w:basedOn w:val="TableauNormal"/>
    <w:uiPriority w:val="62"/>
    <w:rsid w:val="00475C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89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UEL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597C6-8077-4336-BC85-486E3739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531</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Campagne</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Campagne</dc:title>
  <dc:subject/>
  <dc:creator>utilbase</dc:creator>
  <dc:description/>
  <cp:lastModifiedBy>Christelle TOPENOT</cp:lastModifiedBy>
  <cp:revision>58</cp:revision>
  <dcterms:created xsi:type="dcterms:W3CDTF">2020-04-14T06:41:00Z</dcterms:created>
  <dcterms:modified xsi:type="dcterms:W3CDTF">2022-07-07T12:28:00Z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